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B0811" w14:textId="0E0629A1" w:rsidR="00470C29" w:rsidRDefault="001B599D" w:rsidP="00D27D0A">
      <w:pPr>
        <w:jc w:val="center"/>
        <w:rPr>
          <w:rFonts w:ascii="Comic Sans MS" w:hAnsi="Comic Sans MS"/>
          <w:b/>
          <w:bdr w:val="single" w:sz="4" w:space="0" w:color="auto"/>
          <w:shd w:val="clear" w:color="auto" w:fill="FFFECD"/>
        </w:rPr>
      </w:pPr>
      <w:r w:rsidRPr="00C70831">
        <w:rPr>
          <w:rFonts w:ascii="Comic Sans MS" w:hAnsi="Comic Sans MS"/>
          <w:b/>
          <w:bdr w:val="single" w:sz="4" w:space="0" w:color="auto"/>
          <w:shd w:val="clear" w:color="auto" w:fill="FFFFE4"/>
        </w:rPr>
        <w:t xml:space="preserve">Woodlands School </w:t>
      </w:r>
      <w:r w:rsidR="00470C29" w:rsidRPr="00C70831">
        <w:rPr>
          <w:rFonts w:ascii="Comic Sans MS" w:hAnsi="Comic Sans MS"/>
          <w:b/>
          <w:bdr w:val="single" w:sz="4" w:space="0" w:color="auto"/>
          <w:shd w:val="clear" w:color="auto" w:fill="FFFFE4"/>
        </w:rPr>
        <w:t>Pupil Progress: Summary for 201</w:t>
      </w:r>
      <w:r w:rsidR="001B596D" w:rsidRPr="00C70831">
        <w:rPr>
          <w:rFonts w:ascii="Comic Sans MS" w:hAnsi="Comic Sans MS"/>
          <w:b/>
          <w:bdr w:val="single" w:sz="4" w:space="0" w:color="auto"/>
          <w:shd w:val="clear" w:color="auto" w:fill="FFFFE4"/>
        </w:rPr>
        <w:t>8-19</w:t>
      </w:r>
    </w:p>
    <w:p w14:paraId="4FB2DDBA" w14:textId="76A05DDC" w:rsidR="00D27D0A" w:rsidRPr="00DF3615" w:rsidRDefault="00D27D0A" w:rsidP="00470C29">
      <w:pPr>
        <w:rPr>
          <w:rFonts w:ascii="Comic Sans MS" w:hAnsi="Comic Sans MS"/>
          <w:sz w:val="20"/>
        </w:rPr>
      </w:pPr>
      <w:r w:rsidRPr="00DF3615">
        <w:rPr>
          <w:rFonts w:ascii="Comic Sans MS" w:hAnsi="Comic Sans MS"/>
          <w:sz w:val="21"/>
        </w:rPr>
        <w:t xml:space="preserve">The following judgements are made from a wide range of data and processes. Please see the “Assessment for Learning at Woodlands” document for an explanation of these sources. </w:t>
      </w:r>
      <w:r w:rsidRPr="00DF3615">
        <w:rPr>
          <w:rFonts w:ascii="Comic Sans MS" w:hAnsi="Comic Sans MS"/>
          <w:sz w:val="20"/>
        </w:rPr>
        <w:t xml:space="preserve"> </w:t>
      </w:r>
    </w:p>
    <w:tbl>
      <w:tblPr>
        <w:tblStyle w:val="TableGrid"/>
        <w:tblW w:w="11403" w:type="dxa"/>
        <w:tblInd w:w="-459" w:type="dxa"/>
        <w:tblLook w:val="04A0" w:firstRow="1" w:lastRow="0" w:firstColumn="1" w:lastColumn="0" w:noHBand="0" w:noVBand="1"/>
      </w:tblPr>
      <w:tblGrid>
        <w:gridCol w:w="3288"/>
        <w:gridCol w:w="2128"/>
        <w:gridCol w:w="5987"/>
      </w:tblGrid>
      <w:tr w:rsidR="00470C29" w:rsidRPr="006544F2" w14:paraId="171844E1" w14:textId="77777777" w:rsidTr="00C70831">
        <w:trPr>
          <w:trHeight w:val="354"/>
        </w:trPr>
        <w:tc>
          <w:tcPr>
            <w:tcW w:w="11403" w:type="dxa"/>
            <w:gridSpan w:val="3"/>
            <w:shd w:val="clear" w:color="auto" w:fill="FFFFE4"/>
          </w:tcPr>
          <w:p w14:paraId="67613417" w14:textId="422D7EEA" w:rsidR="00470C29" w:rsidRPr="00D27D0A" w:rsidRDefault="00FD3A4F" w:rsidP="003F46D3">
            <w:pPr>
              <w:rPr>
                <w:rFonts w:ascii="Comic Sans MS" w:hAnsi="Comic Sans MS"/>
                <w:b/>
                <w:sz w:val="21"/>
              </w:rPr>
            </w:pPr>
            <w:r w:rsidRPr="00D27D0A">
              <w:rPr>
                <w:rFonts w:ascii="Comic Sans MS" w:hAnsi="Comic Sans MS"/>
                <w:b/>
                <w:sz w:val="21"/>
              </w:rPr>
              <w:t>Accreditation 20</w:t>
            </w:r>
            <w:r w:rsidR="001B596D" w:rsidRPr="00D27D0A">
              <w:rPr>
                <w:rFonts w:ascii="Comic Sans MS" w:hAnsi="Comic Sans MS"/>
                <w:b/>
                <w:sz w:val="21"/>
              </w:rPr>
              <w:t>18-19</w:t>
            </w:r>
            <w:r w:rsidR="00F549B1" w:rsidRPr="00D27D0A">
              <w:rPr>
                <w:rFonts w:ascii="Comic Sans MS" w:hAnsi="Comic Sans MS"/>
                <w:b/>
                <w:sz w:val="21"/>
              </w:rPr>
              <w:t xml:space="preserve">: Good </w:t>
            </w:r>
          </w:p>
        </w:tc>
      </w:tr>
      <w:tr w:rsidR="00470C29" w:rsidRPr="006544F2" w14:paraId="3DB1FE49" w14:textId="77777777" w:rsidTr="00F549B1">
        <w:tc>
          <w:tcPr>
            <w:tcW w:w="11403" w:type="dxa"/>
            <w:gridSpan w:val="3"/>
            <w:shd w:val="clear" w:color="auto" w:fill="auto"/>
          </w:tcPr>
          <w:p w14:paraId="5B4E7AAD" w14:textId="5C11BF7E" w:rsidR="00360F6F" w:rsidRPr="00D27D0A" w:rsidRDefault="001B3A16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100% of pupils making at least Good progress towards accreditation – a significant improvement on the</w:t>
            </w:r>
            <w:r w:rsidRPr="00D27D0A">
              <w:rPr>
                <w:rFonts w:ascii="Comic Sans MS" w:hAnsi="Comic Sans MS"/>
                <w:sz w:val="21"/>
                <w:shd w:val="clear" w:color="auto" w:fill="0070C0"/>
                <w:lang w:val="en-US"/>
              </w:rPr>
              <w:t xml:space="preserve"> </w:t>
            </w: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Autumn &amp; Spring Terms</w:t>
            </w:r>
          </w:p>
          <w:p w14:paraId="6CC521D3" w14:textId="342462FD" w:rsidR="00360F6F" w:rsidRPr="00D27D0A" w:rsidRDefault="001B3A16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</w:rPr>
              <w:t>Outstanding results in KS4: Entry Level results: 100% pass rate across all 7 areas; high proportions of</w:t>
            </w:r>
            <w:r w:rsidRPr="00D27D0A">
              <w:rPr>
                <w:rFonts w:ascii="Comic Sans MS" w:hAnsi="Comic Sans MS"/>
                <w:sz w:val="21"/>
                <w:shd w:val="clear" w:color="auto" w:fill="0070C0"/>
              </w:rPr>
              <w:t xml:space="preserve"> </w:t>
            </w: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</w:rPr>
              <w:t>Entry 2 (33.3%) and Entry 3 (66.7%)</w:t>
            </w:r>
          </w:p>
          <w:p w14:paraId="01979771" w14:textId="1C2B9337" w:rsidR="00360F6F" w:rsidRPr="00D27D0A" w:rsidRDefault="001B3A16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szCs w:val="18"/>
              </w:rPr>
            </w:pPr>
            <w:r w:rsidRPr="00C70831">
              <w:rPr>
                <w:rFonts w:ascii="Comic Sans MS" w:hAnsi="Comic Sans MS"/>
                <w:sz w:val="21"/>
                <w:szCs w:val="18"/>
                <w:shd w:val="clear" w:color="auto" w:fill="B4C6E7" w:themeFill="accent5" w:themeFillTint="66"/>
              </w:rPr>
              <w:t>Breadth and inclusivity of accreditation: 15 areas to cover all cognitive levels; some pupils gaining as many</w:t>
            </w:r>
            <w:r w:rsidRPr="00D27D0A">
              <w:rPr>
                <w:rFonts w:ascii="Comic Sans MS" w:hAnsi="Comic Sans MS"/>
                <w:sz w:val="21"/>
                <w:szCs w:val="18"/>
                <w:shd w:val="clear" w:color="auto" w:fill="0070C0"/>
              </w:rPr>
              <w:t xml:space="preserve"> </w:t>
            </w:r>
            <w:r w:rsidRPr="00C70831">
              <w:rPr>
                <w:rFonts w:ascii="Comic Sans MS" w:hAnsi="Comic Sans MS"/>
                <w:sz w:val="21"/>
                <w:szCs w:val="18"/>
                <w:shd w:val="clear" w:color="auto" w:fill="B4C6E7" w:themeFill="accent5" w:themeFillTint="66"/>
              </w:rPr>
              <w:t>as 7 qualifications; accreditation breadth increased in Sixth Form</w:t>
            </w:r>
          </w:p>
          <w:p w14:paraId="28B187C3" w14:textId="028E53C6" w:rsidR="00470C29" w:rsidRPr="00D27D0A" w:rsidRDefault="00C70831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  <w:lang w:val="en-US"/>
              </w:rPr>
              <w:t>Good results in Sixth Form</w:t>
            </w:r>
          </w:p>
        </w:tc>
      </w:tr>
      <w:tr w:rsidR="00470C29" w:rsidRPr="006544F2" w14:paraId="115D6DEE" w14:textId="77777777" w:rsidTr="00C70831">
        <w:tc>
          <w:tcPr>
            <w:tcW w:w="11403" w:type="dxa"/>
            <w:gridSpan w:val="3"/>
            <w:shd w:val="clear" w:color="auto" w:fill="FFFFE4"/>
          </w:tcPr>
          <w:p w14:paraId="007E8914" w14:textId="796FB6AE" w:rsidR="00470C29" w:rsidRPr="00D27D0A" w:rsidRDefault="00FD3A4F" w:rsidP="003F46D3">
            <w:pPr>
              <w:rPr>
                <w:rFonts w:ascii="Comic Sans MS" w:hAnsi="Comic Sans MS"/>
                <w:b/>
                <w:sz w:val="21"/>
              </w:rPr>
            </w:pPr>
            <w:r w:rsidRPr="00D27D0A">
              <w:rPr>
                <w:rFonts w:ascii="Comic Sans MS" w:hAnsi="Comic Sans MS"/>
                <w:b/>
                <w:sz w:val="21"/>
              </w:rPr>
              <w:t xml:space="preserve">Pupil Premium </w:t>
            </w:r>
            <w:r w:rsidR="00F549B1" w:rsidRPr="00D27D0A">
              <w:rPr>
                <w:rFonts w:ascii="Comic Sans MS" w:hAnsi="Comic Sans MS"/>
                <w:b/>
                <w:sz w:val="21"/>
              </w:rPr>
              <w:t>&amp; CLA 2018</w:t>
            </w:r>
            <w:r w:rsidR="00470C29" w:rsidRPr="00D27D0A">
              <w:rPr>
                <w:rFonts w:ascii="Comic Sans MS" w:hAnsi="Comic Sans MS"/>
                <w:b/>
                <w:sz w:val="21"/>
              </w:rPr>
              <w:t>-1</w:t>
            </w:r>
            <w:r w:rsidR="00F549B1" w:rsidRPr="00D27D0A">
              <w:rPr>
                <w:rFonts w:ascii="Comic Sans MS" w:hAnsi="Comic Sans MS"/>
                <w:b/>
                <w:sz w:val="21"/>
              </w:rPr>
              <w:t>9</w:t>
            </w:r>
            <w:r w:rsidR="00C707CD" w:rsidRPr="00D27D0A">
              <w:rPr>
                <w:rFonts w:ascii="Comic Sans MS" w:hAnsi="Comic Sans MS"/>
                <w:b/>
                <w:sz w:val="21"/>
              </w:rPr>
              <w:t>: Outstanding</w:t>
            </w:r>
          </w:p>
        </w:tc>
      </w:tr>
      <w:tr w:rsidR="00470C29" w:rsidRPr="006544F2" w14:paraId="4A795BC2" w14:textId="77777777" w:rsidTr="00F549B1">
        <w:tc>
          <w:tcPr>
            <w:tcW w:w="11403" w:type="dxa"/>
            <w:gridSpan w:val="3"/>
            <w:shd w:val="clear" w:color="auto" w:fill="auto"/>
          </w:tcPr>
          <w:p w14:paraId="0A21620A" w14:textId="77777777" w:rsidR="00F549B1" w:rsidRPr="00D27D0A" w:rsidRDefault="00F549B1" w:rsidP="00F549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KS1-4: 91% of PP pupils making at least Good progress overall; 4% increase from 2017-18</w:t>
            </w:r>
          </w:p>
          <w:p w14:paraId="1DD333DD" w14:textId="1007C821" w:rsidR="002C6F46" w:rsidRPr="00D27D0A" w:rsidRDefault="00F549B1" w:rsidP="00F549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Whole school: 93.3% of CLA pupils making at least Good progress overall; percentage maintained from</w:t>
            </w:r>
            <w:r w:rsidRPr="00D27D0A">
              <w:rPr>
                <w:rFonts w:ascii="Comic Sans MS" w:hAnsi="Comic Sans MS"/>
                <w:sz w:val="21"/>
                <w:shd w:val="clear" w:color="auto" w:fill="0070C0"/>
                <w:lang w:val="en-US"/>
              </w:rPr>
              <w:t xml:space="preserve"> </w:t>
            </w: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2017-18</w:t>
            </w:r>
          </w:p>
        </w:tc>
      </w:tr>
      <w:tr w:rsidR="00470C29" w:rsidRPr="006544F2" w14:paraId="6E8F06F9" w14:textId="77777777" w:rsidTr="00C70831">
        <w:trPr>
          <w:trHeight w:val="563"/>
        </w:trPr>
        <w:tc>
          <w:tcPr>
            <w:tcW w:w="11403" w:type="dxa"/>
            <w:gridSpan w:val="3"/>
            <w:shd w:val="clear" w:color="auto" w:fill="FFFFE4"/>
          </w:tcPr>
          <w:p w14:paraId="3F3BA754" w14:textId="2C87623D" w:rsidR="00470C29" w:rsidRPr="00D27D0A" w:rsidRDefault="001B596D" w:rsidP="003F46D3">
            <w:pPr>
              <w:rPr>
                <w:rFonts w:ascii="Comic Sans MS" w:hAnsi="Comic Sans MS"/>
                <w:b/>
                <w:sz w:val="21"/>
              </w:rPr>
            </w:pPr>
            <w:r w:rsidRPr="00D27D0A">
              <w:rPr>
                <w:rFonts w:ascii="Comic Sans MS" w:hAnsi="Comic Sans MS"/>
                <w:b/>
                <w:sz w:val="21"/>
              </w:rPr>
              <w:t xml:space="preserve">Overall </w:t>
            </w:r>
            <w:r w:rsidR="00470C29" w:rsidRPr="00D27D0A">
              <w:rPr>
                <w:rFonts w:ascii="Comic Sans MS" w:hAnsi="Comic Sans MS"/>
                <w:b/>
                <w:sz w:val="21"/>
              </w:rPr>
              <w:t xml:space="preserve">Rate of Pupil </w:t>
            </w:r>
            <w:r w:rsidRPr="00D27D0A">
              <w:rPr>
                <w:rFonts w:ascii="Comic Sans MS" w:hAnsi="Comic Sans MS"/>
                <w:b/>
                <w:sz w:val="21"/>
              </w:rPr>
              <w:t xml:space="preserve">Progress </w:t>
            </w:r>
            <w:r w:rsidR="00470C29" w:rsidRPr="00D27D0A">
              <w:rPr>
                <w:rFonts w:ascii="Comic Sans MS" w:hAnsi="Comic Sans MS"/>
                <w:b/>
                <w:sz w:val="21"/>
              </w:rPr>
              <w:t>Across Key Stages fo</w:t>
            </w:r>
            <w:r w:rsidR="005D0045">
              <w:rPr>
                <w:rFonts w:ascii="Comic Sans MS" w:hAnsi="Comic Sans MS"/>
                <w:b/>
                <w:sz w:val="21"/>
              </w:rPr>
              <w:t>r Years 2, 6,9 and 11</w:t>
            </w:r>
            <w:r w:rsidR="00C707CD" w:rsidRPr="00D27D0A">
              <w:rPr>
                <w:rFonts w:ascii="Comic Sans MS" w:hAnsi="Comic Sans MS"/>
                <w:b/>
                <w:sz w:val="21"/>
              </w:rPr>
              <w:t>: overall Outstanding</w:t>
            </w:r>
          </w:p>
        </w:tc>
      </w:tr>
      <w:tr w:rsidR="00360F6F" w14:paraId="381780E2" w14:textId="2F230F7B" w:rsidTr="00F549B1">
        <w:tc>
          <w:tcPr>
            <w:tcW w:w="5416" w:type="dxa"/>
            <w:gridSpan w:val="2"/>
          </w:tcPr>
          <w:p w14:paraId="00E04DDB" w14:textId="41C045D2" w:rsidR="00360F6F" w:rsidRPr="00D27D0A" w:rsidRDefault="00360F6F" w:rsidP="005302D5">
            <w:pPr>
              <w:jc w:val="center"/>
              <w:rPr>
                <w:rFonts w:ascii="Comic Sans MS" w:hAnsi="Comic Sans MS"/>
                <w:sz w:val="21"/>
                <w:lang w:val="en-US"/>
              </w:rPr>
            </w:pPr>
            <w:r w:rsidRPr="00D27D0A">
              <w:rPr>
                <w:rFonts w:ascii="Comic Sans MS" w:hAnsi="Comic Sans MS"/>
                <w:sz w:val="21"/>
                <w:lang w:val="en-US"/>
              </w:rPr>
              <w:t xml:space="preserve">Percentage of pupils making at least </w:t>
            </w:r>
            <w:r w:rsidR="005D0045">
              <w:rPr>
                <w:rFonts w:ascii="Comic Sans MS" w:hAnsi="Comic Sans MS"/>
                <w:sz w:val="21"/>
                <w:lang w:val="en-US"/>
              </w:rPr>
              <w:t>Good progress across Key Stage Year 11 (</w:t>
            </w:r>
            <w:r w:rsidRPr="00D27D0A">
              <w:rPr>
                <w:rFonts w:ascii="Comic Sans MS" w:hAnsi="Comic Sans MS"/>
                <w:sz w:val="21"/>
                <w:lang w:val="en-US"/>
              </w:rPr>
              <w:t>5 pupils)</w:t>
            </w:r>
          </w:p>
        </w:tc>
        <w:tc>
          <w:tcPr>
            <w:tcW w:w="5987" w:type="dxa"/>
            <w:vMerge w:val="restart"/>
          </w:tcPr>
          <w:p w14:paraId="6F15A6C4" w14:textId="77777777" w:rsidR="00360F6F" w:rsidRPr="00D27D0A" w:rsidRDefault="00360F6F" w:rsidP="00360F6F">
            <w:pPr>
              <w:jc w:val="center"/>
              <w:rPr>
                <w:rFonts w:ascii="Comic Sans MS" w:hAnsi="Comic Sans MS"/>
                <w:sz w:val="21"/>
                <w:lang w:val="en-US"/>
              </w:rPr>
            </w:pPr>
          </w:p>
        </w:tc>
      </w:tr>
      <w:tr w:rsidR="00360F6F" w14:paraId="15906DB2" w14:textId="51EAE32D" w:rsidTr="00C70831">
        <w:tc>
          <w:tcPr>
            <w:tcW w:w="3288" w:type="dxa"/>
          </w:tcPr>
          <w:p w14:paraId="78B82C06" w14:textId="34BAA882" w:rsidR="00360F6F" w:rsidRPr="00D27D0A" w:rsidRDefault="00360F6F" w:rsidP="005302D5">
            <w:pPr>
              <w:rPr>
                <w:rFonts w:ascii="Comic Sans MS" w:hAnsi="Comic Sans MS"/>
                <w:sz w:val="21"/>
                <w:lang w:val="en-US"/>
              </w:rPr>
            </w:pPr>
            <w:r w:rsidRPr="00D27D0A">
              <w:rPr>
                <w:rFonts w:ascii="Comic Sans MS" w:hAnsi="Comic Sans MS"/>
                <w:sz w:val="21"/>
                <w:lang w:val="en-US"/>
              </w:rPr>
              <w:t>Lit</w:t>
            </w:r>
            <w:r w:rsidR="00DF3615">
              <w:rPr>
                <w:rFonts w:ascii="Comic Sans MS" w:hAnsi="Comic Sans MS"/>
                <w:sz w:val="21"/>
                <w:lang w:val="en-US"/>
              </w:rPr>
              <w:t xml:space="preserve">eracy </w:t>
            </w:r>
          </w:p>
        </w:tc>
        <w:tc>
          <w:tcPr>
            <w:tcW w:w="2128" w:type="dxa"/>
            <w:shd w:val="clear" w:color="auto" w:fill="C5E0B3" w:themeFill="accent6" w:themeFillTint="66"/>
          </w:tcPr>
          <w:p w14:paraId="4C7DEA40" w14:textId="77777777" w:rsidR="00360F6F" w:rsidRPr="00D27D0A" w:rsidRDefault="00360F6F" w:rsidP="005302D5">
            <w:pPr>
              <w:rPr>
                <w:rFonts w:ascii="Comic Sans MS" w:hAnsi="Comic Sans MS"/>
                <w:sz w:val="21"/>
                <w:lang w:val="en-US"/>
              </w:rPr>
            </w:pPr>
            <w:r w:rsidRPr="00D27D0A">
              <w:rPr>
                <w:rFonts w:ascii="Comic Sans MS" w:hAnsi="Comic Sans MS"/>
                <w:sz w:val="21"/>
                <w:lang w:val="en-US"/>
              </w:rPr>
              <w:t>80%</w:t>
            </w:r>
          </w:p>
        </w:tc>
        <w:tc>
          <w:tcPr>
            <w:tcW w:w="5987" w:type="dxa"/>
            <w:vMerge/>
            <w:shd w:val="clear" w:color="auto" w:fill="00B050"/>
          </w:tcPr>
          <w:p w14:paraId="3B1A24EB" w14:textId="77777777" w:rsidR="00360F6F" w:rsidRPr="00D27D0A" w:rsidRDefault="00360F6F" w:rsidP="00360F6F">
            <w:pPr>
              <w:rPr>
                <w:rFonts w:ascii="Comic Sans MS" w:hAnsi="Comic Sans MS"/>
                <w:sz w:val="21"/>
                <w:lang w:val="en-US"/>
              </w:rPr>
            </w:pPr>
          </w:p>
        </w:tc>
      </w:tr>
      <w:tr w:rsidR="00360F6F" w14:paraId="1E67E474" w14:textId="2C617934" w:rsidTr="00C70831">
        <w:tc>
          <w:tcPr>
            <w:tcW w:w="3288" w:type="dxa"/>
          </w:tcPr>
          <w:p w14:paraId="60CD1456" w14:textId="77DF606F" w:rsidR="00360F6F" w:rsidRPr="00D27D0A" w:rsidRDefault="00360F6F" w:rsidP="005302D5">
            <w:pPr>
              <w:rPr>
                <w:rFonts w:ascii="Comic Sans MS" w:hAnsi="Comic Sans MS"/>
                <w:sz w:val="21"/>
                <w:lang w:val="en-US"/>
              </w:rPr>
            </w:pPr>
            <w:r w:rsidRPr="00D27D0A">
              <w:rPr>
                <w:rFonts w:ascii="Comic Sans MS" w:hAnsi="Comic Sans MS"/>
                <w:sz w:val="21"/>
                <w:lang w:val="en-US"/>
              </w:rPr>
              <w:t>Num</w:t>
            </w:r>
            <w:r w:rsidR="00DF3615">
              <w:rPr>
                <w:rFonts w:ascii="Comic Sans MS" w:hAnsi="Comic Sans MS"/>
                <w:sz w:val="21"/>
                <w:lang w:val="en-US"/>
              </w:rPr>
              <w:t>eracy</w:t>
            </w:r>
          </w:p>
        </w:tc>
        <w:tc>
          <w:tcPr>
            <w:tcW w:w="2128" w:type="dxa"/>
            <w:shd w:val="clear" w:color="auto" w:fill="C5E0B3" w:themeFill="accent6" w:themeFillTint="66"/>
          </w:tcPr>
          <w:p w14:paraId="36921CCE" w14:textId="77777777" w:rsidR="00360F6F" w:rsidRPr="00D27D0A" w:rsidRDefault="00360F6F" w:rsidP="005302D5">
            <w:pPr>
              <w:rPr>
                <w:rFonts w:ascii="Comic Sans MS" w:hAnsi="Comic Sans MS"/>
                <w:sz w:val="21"/>
                <w:lang w:val="en-US"/>
              </w:rPr>
            </w:pPr>
            <w:r w:rsidRPr="00D27D0A">
              <w:rPr>
                <w:rFonts w:ascii="Comic Sans MS" w:hAnsi="Comic Sans MS"/>
                <w:sz w:val="21"/>
                <w:lang w:val="en-US"/>
              </w:rPr>
              <w:t>80&amp;</w:t>
            </w:r>
          </w:p>
        </w:tc>
        <w:tc>
          <w:tcPr>
            <w:tcW w:w="5987" w:type="dxa"/>
            <w:vMerge/>
            <w:shd w:val="clear" w:color="auto" w:fill="00B050"/>
          </w:tcPr>
          <w:p w14:paraId="327380EE" w14:textId="77777777" w:rsidR="00360F6F" w:rsidRPr="00D27D0A" w:rsidRDefault="00360F6F" w:rsidP="00360F6F">
            <w:pPr>
              <w:rPr>
                <w:rFonts w:ascii="Comic Sans MS" w:hAnsi="Comic Sans MS"/>
                <w:sz w:val="21"/>
                <w:lang w:val="en-US"/>
              </w:rPr>
            </w:pPr>
          </w:p>
        </w:tc>
      </w:tr>
      <w:tr w:rsidR="00360F6F" w14:paraId="258DEA5F" w14:textId="53281918" w:rsidTr="00C70831">
        <w:trPr>
          <w:trHeight w:val="334"/>
        </w:trPr>
        <w:tc>
          <w:tcPr>
            <w:tcW w:w="3288" w:type="dxa"/>
          </w:tcPr>
          <w:p w14:paraId="12B3F2E9" w14:textId="4F838107" w:rsidR="00360F6F" w:rsidRPr="00D27D0A" w:rsidRDefault="00360F6F" w:rsidP="005302D5">
            <w:pPr>
              <w:rPr>
                <w:rFonts w:ascii="Comic Sans MS" w:hAnsi="Comic Sans MS"/>
                <w:sz w:val="21"/>
                <w:lang w:val="en-US"/>
              </w:rPr>
            </w:pPr>
            <w:r w:rsidRPr="00D27D0A">
              <w:rPr>
                <w:rFonts w:ascii="Comic Sans MS" w:hAnsi="Comic Sans MS"/>
                <w:sz w:val="21"/>
                <w:lang w:val="en-US"/>
              </w:rPr>
              <w:t>Comp</w:t>
            </w:r>
            <w:r w:rsidR="00DF3615">
              <w:rPr>
                <w:rFonts w:ascii="Comic Sans MS" w:hAnsi="Comic Sans MS"/>
                <w:sz w:val="21"/>
                <w:lang w:val="en-US"/>
              </w:rPr>
              <w:t>uting</w:t>
            </w:r>
          </w:p>
        </w:tc>
        <w:tc>
          <w:tcPr>
            <w:tcW w:w="2128" w:type="dxa"/>
            <w:shd w:val="clear" w:color="auto" w:fill="C5E0B3" w:themeFill="accent6" w:themeFillTint="66"/>
          </w:tcPr>
          <w:p w14:paraId="1C7A9409" w14:textId="77777777" w:rsidR="00360F6F" w:rsidRPr="00D27D0A" w:rsidRDefault="00360F6F" w:rsidP="005302D5">
            <w:pPr>
              <w:rPr>
                <w:rFonts w:ascii="Comic Sans MS" w:hAnsi="Comic Sans MS"/>
                <w:sz w:val="21"/>
                <w:lang w:val="en-US"/>
              </w:rPr>
            </w:pPr>
            <w:r w:rsidRPr="00D27D0A">
              <w:rPr>
                <w:rFonts w:ascii="Comic Sans MS" w:hAnsi="Comic Sans MS"/>
                <w:sz w:val="21"/>
                <w:lang w:val="en-US"/>
              </w:rPr>
              <w:t>80%</w:t>
            </w:r>
          </w:p>
        </w:tc>
        <w:tc>
          <w:tcPr>
            <w:tcW w:w="5987" w:type="dxa"/>
            <w:vMerge/>
            <w:shd w:val="clear" w:color="auto" w:fill="00B050"/>
          </w:tcPr>
          <w:p w14:paraId="44578862" w14:textId="77777777" w:rsidR="00360F6F" w:rsidRPr="00D27D0A" w:rsidRDefault="00360F6F" w:rsidP="00360F6F">
            <w:pPr>
              <w:rPr>
                <w:rFonts w:ascii="Comic Sans MS" w:hAnsi="Comic Sans MS"/>
                <w:sz w:val="21"/>
                <w:lang w:val="en-US"/>
              </w:rPr>
            </w:pPr>
          </w:p>
        </w:tc>
      </w:tr>
      <w:tr w:rsidR="00360F6F" w14:paraId="4667ACAD" w14:textId="7888585C" w:rsidTr="00C70831">
        <w:tc>
          <w:tcPr>
            <w:tcW w:w="3288" w:type="dxa"/>
          </w:tcPr>
          <w:p w14:paraId="506514D4" w14:textId="77777777" w:rsidR="00360F6F" w:rsidRPr="00D27D0A" w:rsidRDefault="00360F6F" w:rsidP="005302D5">
            <w:pPr>
              <w:rPr>
                <w:rFonts w:ascii="Comic Sans MS" w:hAnsi="Comic Sans MS"/>
                <w:sz w:val="21"/>
                <w:lang w:val="en-US"/>
              </w:rPr>
            </w:pPr>
            <w:r w:rsidRPr="00D27D0A">
              <w:rPr>
                <w:rFonts w:ascii="Comic Sans MS" w:hAnsi="Comic Sans MS"/>
                <w:sz w:val="21"/>
                <w:lang w:val="en-US"/>
              </w:rPr>
              <w:t>SMSC</w:t>
            </w:r>
          </w:p>
        </w:tc>
        <w:tc>
          <w:tcPr>
            <w:tcW w:w="2128" w:type="dxa"/>
            <w:shd w:val="clear" w:color="auto" w:fill="C5E0B3" w:themeFill="accent6" w:themeFillTint="66"/>
          </w:tcPr>
          <w:p w14:paraId="50DCEC72" w14:textId="77777777" w:rsidR="00360F6F" w:rsidRPr="00D27D0A" w:rsidRDefault="00360F6F" w:rsidP="005302D5">
            <w:pPr>
              <w:rPr>
                <w:rFonts w:ascii="Comic Sans MS" w:hAnsi="Comic Sans MS"/>
                <w:sz w:val="21"/>
                <w:lang w:val="en-US"/>
              </w:rPr>
            </w:pPr>
            <w:r w:rsidRPr="00D27D0A">
              <w:rPr>
                <w:rFonts w:ascii="Comic Sans MS" w:hAnsi="Comic Sans MS"/>
                <w:sz w:val="21"/>
                <w:lang w:val="en-US"/>
              </w:rPr>
              <w:t>80%</w:t>
            </w:r>
          </w:p>
        </w:tc>
        <w:tc>
          <w:tcPr>
            <w:tcW w:w="5987" w:type="dxa"/>
            <w:vMerge/>
            <w:tcBorders>
              <w:bottom w:val="nil"/>
            </w:tcBorders>
            <w:shd w:val="clear" w:color="auto" w:fill="00B050"/>
          </w:tcPr>
          <w:p w14:paraId="21B2B6E9" w14:textId="77777777" w:rsidR="00360F6F" w:rsidRPr="00D27D0A" w:rsidRDefault="00360F6F" w:rsidP="00360F6F">
            <w:pPr>
              <w:rPr>
                <w:rFonts w:ascii="Comic Sans MS" w:hAnsi="Comic Sans MS"/>
                <w:sz w:val="21"/>
                <w:lang w:val="en-US"/>
              </w:rPr>
            </w:pPr>
          </w:p>
        </w:tc>
      </w:tr>
      <w:tr w:rsidR="00470C29" w:rsidRPr="006544F2" w14:paraId="7E045080" w14:textId="77777777" w:rsidTr="00F549B1">
        <w:tc>
          <w:tcPr>
            <w:tcW w:w="11403" w:type="dxa"/>
            <w:gridSpan w:val="3"/>
            <w:tcBorders>
              <w:top w:val="nil"/>
            </w:tcBorders>
            <w:shd w:val="clear" w:color="auto" w:fill="auto"/>
          </w:tcPr>
          <w:p w14:paraId="7C130629" w14:textId="77777777" w:rsidR="00360F6F" w:rsidRPr="00D27D0A" w:rsidRDefault="00360F6F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72"/>
              <w:gridCol w:w="1943"/>
              <w:gridCol w:w="1942"/>
              <w:gridCol w:w="1942"/>
              <w:gridCol w:w="1981"/>
            </w:tblGrid>
            <w:tr w:rsidR="007C351D" w:rsidRPr="00D27D0A" w14:paraId="333FEE14" w14:textId="77777777" w:rsidTr="00360F6F">
              <w:tc>
                <w:tcPr>
                  <w:tcW w:w="9980" w:type="dxa"/>
                  <w:gridSpan w:val="5"/>
                </w:tcPr>
                <w:p w14:paraId="31B2CBC4" w14:textId="77777777" w:rsidR="007C351D" w:rsidRPr="00D27D0A" w:rsidRDefault="007C351D" w:rsidP="00F549B1">
                  <w:pPr>
                    <w:jc w:val="center"/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Percentage of pupils making at least Good progress across Key Stage (Years 2, 6 &amp; 9)</w:t>
                  </w:r>
                </w:p>
              </w:tc>
            </w:tr>
            <w:tr w:rsidR="007C351D" w:rsidRPr="00D27D0A" w14:paraId="568A5CC7" w14:textId="77777777" w:rsidTr="00360F6F">
              <w:tc>
                <w:tcPr>
                  <w:tcW w:w="2172" w:type="dxa"/>
                </w:tcPr>
                <w:p w14:paraId="369D40DF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</w:p>
              </w:tc>
              <w:tc>
                <w:tcPr>
                  <w:tcW w:w="1943" w:type="dxa"/>
                </w:tcPr>
                <w:p w14:paraId="49CE690D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 xml:space="preserve">Year 2 (9 pupils) </w:t>
                  </w:r>
                </w:p>
              </w:tc>
              <w:tc>
                <w:tcPr>
                  <w:tcW w:w="1942" w:type="dxa"/>
                </w:tcPr>
                <w:p w14:paraId="0EA100DA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 xml:space="preserve">Year 6 (14 pupils) </w:t>
                  </w:r>
                </w:p>
              </w:tc>
              <w:tc>
                <w:tcPr>
                  <w:tcW w:w="1942" w:type="dxa"/>
                </w:tcPr>
                <w:p w14:paraId="51AA589A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Year 9 (8 pupils)</w:t>
                  </w:r>
                </w:p>
              </w:tc>
              <w:tc>
                <w:tcPr>
                  <w:tcW w:w="1981" w:type="dxa"/>
                </w:tcPr>
                <w:p w14:paraId="0F15E8A3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Overall</w:t>
                  </w:r>
                </w:p>
              </w:tc>
            </w:tr>
            <w:tr w:rsidR="007C351D" w:rsidRPr="00D27D0A" w14:paraId="1278B8FA" w14:textId="77777777" w:rsidTr="00C70831">
              <w:trPr>
                <w:trHeight w:val="304"/>
              </w:trPr>
              <w:tc>
                <w:tcPr>
                  <w:tcW w:w="2172" w:type="dxa"/>
                </w:tcPr>
                <w:p w14:paraId="1516148A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 xml:space="preserve">Computing </w:t>
                  </w:r>
                </w:p>
              </w:tc>
              <w:tc>
                <w:tcPr>
                  <w:tcW w:w="1943" w:type="dxa"/>
                  <w:shd w:val="clear" w:color="auto" w:fill="B4C6E7" w:themeFill="accent5" w:themeFillTint="66"/>
                </w:tcPr>
                <w:p w14:paraId="0B1EA83C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88.9%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3228BED2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92.9%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602D3A88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87.5%</w:t>
                  </w:r>
                </w:p>
              </w:tc>
              <w:tc>
                <w:tcPr>
                  <w:tcW w:w="1981" w:type="dxa"/>
                  <w:shd w:val="clear" w:color="auto" w:fill="B4C6E7" w:themeFill="accent5" w:themeFillTint="66"/>
                </w:tcPr>
                <w:p w14:paraId="422B4EBE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90.3%</w:t>
                  </w:r>
                </w:p>
              </w:tc>
            </w:tr>
            <w:tr w:rsidR="007C351D" w:rsidRPr="00D27D0A" w14:paraId="380D7709" w14:textId="77777777" w:rsidTr="00C70831">
              <w:tc>
                <w:tcPr>
                  <w:tcW w:w="2172" w:type="dxa"/>
                </w:tcPr>
                <w:p w14:paraId="3C5CFC27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 xml:space="preserve">Enquiry </w:t>
                  </w:r>
                </w:p>
              </w:tc>
              <w:tc>
                <w:tcPr>
                  <w:tcW w:w="1943" w:type="dxa"/>
                  <w:shd w:val="clear" w:color="auto" w:fill="FEFF8B"/>
                </w:tcPr>
                <w:p w14:paraId="564239E3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55.6%</w:t>
                  </w:r>
                </w:p>
              </w:tc>
              <w:tc>
                <w:tcPr>
                  <w:tcW w:w="1942" w:type="dxa"/>
                  <w:shd w:val="clear" w:color="auto" w:fill="C5E0B3" w:themeFill="accent6" w:themeFillTint="66"/>
                </w:tcPr>
                <w:p w14:paraId="45B38B83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78.6%</w:t>
                  </w:r>
                </w:p>
              </w:tc>
              <w:tc>
                <w:tcPr>
                  <w:tcW w:w="1942" w:type="dxa"/>
                  <w:shd w:val="clear" w:color="auto" w:fill="FEFF8B"/>
                </w:tcPr>
                <w:p w14:paraId="13FBF676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62.5%</w:t>
                  </w:r>
                </w:p>
              </w:tc>
              <w:tc>
                <w:tcPr>
                  <w:tcW w:w="1981" w:type="dxa"/>
                  <w:shd w:val="clear" w:color="auto" w:fill="FEFF8B"/>
                </w:tcPr>
                <w:p w14:paraId="442AC67D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67.7%</w:t>
                  </w:r>
                </w:p>
              </w:tc>
            </w:tr>
            <w:tr w:rsidR="007C351D" w:rsidRPr="00D27D0A" w14:paraId="786B20B9" w14:textId="77777777" w:rsidTr="00C70831">
              <w:tc>
                <w:tcPr>
                  <w:tcW w:w="2172" w:type="dxa"/>
                </w:tcPr>
                <w:p w14:paraId="779C7500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SMSC</w:t>
                  </w:r>
                </w:p>
              </w:tc>
              <w:tc>
                <w:tcPr>
                  <w:tcW w:w="1943" w:type="dxa"/>
                  <w:shd w:val="clear" w:color="auto" w:fill="B4C6E7" w:themeFill="accent5" w:themeFillTint="66"/>
                </w:tcPr>
                <w:p w14:paraId="48416DF2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100%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1123BAF4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85.7%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22C7D48C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100%</w:t>
                  </w:r>
                </w:p>
              </w:tc>
              <w:tc>
                <w:tcPr>
                  <w:tcW w:w="1981" w:type="dxa"/>
                  <w:shd w:val="clear" w:color="auto" w:fill="B4C6E7" w:themeFill="accent5" w:themeFillTint="66"/>
                </w:tcPr>
                <w:p w14:paraId="6731B149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93.5%</w:t>
                  </w:r>
                </w:p>
              </w:tc>
            </w:tr>
            <w:tr w:rsidR="007C351D" w:rsidRPr="00D27D0A" w14:paraId="03D1BAE9" w14:textId="77777777" w:rsidTr="00C70831">
              <w:tc>
                <w:tcPr>
                  <w:tcW w:w="2172" w:type="dxa"/>
                </w:tcPr>
                <w:p w14:paraId="40D345EE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Number</w:t>
                  </w:r>
                </w:p>
              </w:tc>
              <w:tc>
                <w:tcPr>
                  <w:tcW w:w="1943" w:type="dxa"/>
                  <w:shd w:val="clear" w:color="auto" w:fill="B4C6E7" w:themeFill="accent5" w:themeFillTint="66"/>
                </w:tcPr>
                <w:p w14:paraId="042E8485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100%</w:t>
                  </w:r>
                </w:p>
              </w:tc>
              <w:tc>
                <w:tcPr>
                  <w:tcW w:w="1942" w:type="dxa"/>
                  <w:shd w:val="clear" w:color="auto" w:fill="C5E0B3" w:themeFill="accent6" w:themeFillTint="66"/>
                </w:tcPr>
                <w:p w14:paraId="079E999E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78.6%</w:t>
                  </w:r>
                </w:p>
              </w:tc>
              <w:tc>
                <w:tcPr>
                  <w:tcW w:w="1942" w:type="dxa"/>
                  <w:shd w:val="clear" w:color="auto" w:fill="C5E0B3" w:themeFill="accent6" w:themeFillTint="66"/>
                </w:tcPr>
                <w:p w14:paraId="6A77F7D2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75%</w:t>
                  </w:r>
                </w:p>
              </w:tc>
              <w:tc>
                <w:tcPr>
                  <w:tcW w:w="1981" w:type="dxa"/>
                  <w:shd w:val="clear" w:color="auto" w:fill="B4C6E7" w:themeFill="accent5" w:themeFillTint="66"/>
                </w:tcPr>
                <w:p w14:paraId="176B20B0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83.9%</w:t>
                  </w:r>
                </w:p>
              </w:tc>
            </w:tr>
            <w:tr w:rsidR="007C351D" w:rsidRPr="00D27D0A" w14:paraId="2F40BD0B" w14:textId="77777777" w:rsidTr="00C70831">
              <w:tc>
                <w:tcPr>
                  <w:tcW w:w="2172" w:type="dxa"/>
                </w:tcPr>
                <w:p w14:paraId="1FFC2E40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U&amp;A</w:t>
                  </w:r>
                </w:p>
              </w:tc>
              <w:tc>
                <w:tcPr>
                  <w:tcW w:w="1943" w:type="dxa"/>
                  <w:shd w:val="clear" w:color="auto" w:fill="B4C6E7" w:themeFill="accent5" w:themeFillTint="66"/>
                </w:tcPr>
                <w:p w14:paraId="28870A2B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100%</w:t>
                  </w:r>
                </w:p>
              </w:tc>
              <w:tc>
                <w:tcPr>
                  <w:tcW w:w="1942" w:type="dxa"/>
                  <w:shd w:val="clear" w:color="auto" w:fill="C5E0B3" w:themeFill="accent6" w:themeFillTint="66"/>
                </w:tcPr>
                <w:p w14:paraId="5F9DE0F2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78.6%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46CB8F23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100%</w:t>
                  </w:r>
                </w:p>
              </w:tc>
              <w:tc>
                <w:tcPr>
                  <w:tcW w:w="1981" w:type="dxa"/>
                  <w:shd w:val="clear" w:color="auto" w:fill="B4C6E7" w:themeFill="accent5" w:themeFillTint="66"/>
                </w:tcPr>
                <w:p w14:paraId="0A3F08C9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90.3%</w:t>
                  </w:r>
                </w:p>
              </w:tc>
            </w:tr>
            <w:tr w:rsidR="007C351D" w:rsidRPr="00D27D0A" w14:paraId="2DF8A78E" w14:textId="77777777" w:rsidTr="00C70831">
              <w:tc>
                <w:tcPr>
                  <w:tcW w:w="2172" w:type="dxa"/>
                </w:tcPr>
                <w:p w14:paraId="61A12769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Shape</w:t>
                  </w:r>
                </w:p>
              </w:tc>
              <w:tc>
                <w:tcPr>
                  <w:tcW w:w="1943" w:type="dxa"/>
                  <w:shd w:val="clear" w:color="auto" w:fill="B4C6E7" w:themeFill="accent5" w:themeFillTint="66"/>
                </w:tcPr>
                <w:p w14:paraId="7E71CDDE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100%</w:t>
                  </w:r>
                </w:p>
              </w:tc>
              <w:tc>
                <w:tcPr>
                  <w:tcW w:w="1942" w:type="dxa"/>
                  <w:shd w:val="clear" w:color="auto" w:fill="C5E0B3" w:themeFill="accent6" w:themeFillTint="66"/>
                </w:tcPr>
                <w:p w14:paraId="6EF3BEF9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78.6%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17F24414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100%</w:t>
                  </w:r>
                </w:p>
              </w:tc>
              <w:tc>
                <w:tcPr>
                  <w:tcW w:w="1981" w:type="dxa"/>
                  <w:shd w:val="clear" w:color="auto" w:fill="B4C6E7" w:themeFill="accent5" w:themeFillTint="66"/>
                </w:tcPr>
                <w:p w14:paraId="442A8337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90.3%</w:t>
                  </w:r>
                </w:p>
              </w:tc>
            </w:tr>
            <w:tr w:rsidR="007C351D" w:rsidRPr="00D27D0A" w14:paraId="3F63EBC5" w14:textId="77777777" w:rsidTr="00C70831">
              <w:tc>
                <w:tcPr>
                  <w:tcW w:w="2172" w:type="dxa"/>
                </w:tcPr>
                <w:p w14:paraId="3740AC82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Writing</w:t>
                  </w:r>
                </w:p>
              </w:tc>
              <w:tc>
                <w:tcPr>
                  <w:tcW w:w="1943" w:type="dxa"/>
                  <w:shd w:val="clear" w:color="auto" w:fill="B4C6E7" w:themeFill="accent5" w:themeFillTint="66"/>
                </w:tcPr>
                <w:p w14:paraId="4726BA5D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88.9%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33C85209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92.9%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26FFEB5A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100%</w:t>
                  </w:r>
                </w:p>
              </w:tc>
              <w:tc>
                <w:tcPr>
                  <w:tcW w:w="1981" w:type="dxa"/>
                  <w:shd w:val="clear" w:color="auto" w:fill="B4C6E7" w:themeFill="accent5" w:themeFillTint="66"/>
                </w:tcPr>
                <w:p w14:paraId="42F4AB7E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93.5%</w:t>
                  </w:r>
                </w:p>
              </w:tc>
            </w:tr>
            <w:tr w:rsidR="007C351D" w:rsidRPr="00D27D0A" w14:paraId="4DEC755A" w14:textId="77777777" w:rsidTr="00C70831">
              <w:tc>
                <w:tcPr>
                  <w:tcW w:w="2172" w:type="dxa"/>
                </w:tcPr>
                <w:p w14:paraId="7758CD17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CVGP</w:t>
                  </w:r>
                </w:p>
              </w:tc>
              <w:tc>
                <w:tcPr>
                  <w:tcW w:w="1943" w:type="dxa"/>
                  <w:shd w:val="clear" w:color="auto" w:fill="B4C6E7" w:themeFill="accent5" w:themeFillTint="66"/>
                </w:tcPr>
                <w:p w14:paraId="24C0D41B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100%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1495E741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92.9%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55D55B1D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100%</w:t>
                  </w:r>
                </w:p>
              </w:tc>
              <w:tc>
                <w:tcPr>
                  <w:tcW w:w="1981" w:type="dxa"/>
                  <w:shd w:val="clear" w:color="auto" w:fill="B4C6E7" w:themeFill="accent5" w:themeFillTint="66"/>
                </w:tcPr>
                <w:p w14:paraId="751551B5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96.8%</w:t>
                  </w:r>
                </w:p>
              </w:tc>
            </w:tr>
            <w:tr w:rsidR="007C351D" w:rsidRPr="00D27D0A" w14:paraId="6D7AD568" w14:textId="77777777" w:rsidTr="00C70831">
              <w:trPr>
                <w:trHeight w:val="249"/>
              </w:trPr>
              <w:tc>
                <w:tcPr>
                  <w:tcW w:w="2172" w:type="dxa"/>
                </w:tcPr>
                <w:p w14:paraId="035EED6B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 xml:space="preserve">Reading </w:t>
                  </w:r>
                </w:p>
              </w:tc>
              <w:tc>
                <w:tcPr>
                  <w:tcW w:w="1943" w:type="dxa"/>
                  <w:shd w:val="clear" w:color="auto" w:fill="C5E0B3" w:themeFill="accent6" w:themeFillTint="66"/>
                </w:tcPr>
                <w:p w14:paraId="6BC6CEAD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77.8%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44F3B484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92.9%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5460F48F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87.5%</w:t>
                  </w:r>
                </w:p>
              </w:tc>
              <w:tc>
                <w:tcPr>
                  <w:tcW w:w="1981" w:type="dxa"/>
                  <w:shd w:val="clear" w:color="auto" w:fill="B4C6E7" w:themeFill="accent5" w:themeFillTint="66"/>
                </w:tcPr>
                <w:p w14:paraId="2692EC2A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86.1%</w:t>
                  </w:r>
                </w:p>
              </w:tc>
            </w:tr>
            <w:tr w:rsidR="007C351D" w:rsidRPr="00D27D0A" w14:paraId="1E50EA55" w14:textId="77777777" w:rsidTr="00C70831">
              <w:trPr>
                <w:trHeight w:val="236"/>
              </w:trPr>
              <w:tc>
                <w:tcPr>
                  <w:tcW w:w="2172" w:type="dxa"/>
                </w:tcPr>
                <w:p w14:paraId="1C59E1EE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 xml:space="preserve">Average Percentage </w:t>
                  </w:r>
                </w:p>
              </w:tc>
              <w:tc>
                <w:tcPr>
                  <w:tcW w:w="1943" w:type="dxa"/>
                  <w:shd w:val="clear" w:color="auto" w:fill="B4C6E7" w:themeFill="accent5" w:themeFillTint="66"/>
                </w:tcPr>
                <w:p w14:paraId="3F3D37B6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90.1%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2A8F0933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85.7%</w:t>
                  </w:r>
                </w:p>
              </w:tc>
              <w:tc>
                <w:tcPr>
                  <w:tcW w:w="1942" w:type="dxa"/>
                  <w:shd w:val="clear" w:color="auto" w:fill="B4C6E7" w:themeFill="accent5" w:themeFillTint="66"/>
                </w:tcPr>
                <w:p w14:paraId="4C60B953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90.3%</w:t>
                  </w:r>
                </w:p>
              </w:tc>
              <w:tc>
                <w:tcPr>
                  <w:tcW w:w="1981" w:type="dxa"/>
                  <w:shd w:val="clear" w:color="auto" w:fill="B4C6E7" w:themeFill="accent5" w:themeFillTint="66"/>
                </w:tcPr>
                <w:p w14:paraId="35B29027" w14:textId="77777777" w:rsidR="007C351D" w:rsidRPr="00D27D0A" w:rsidRDefault="007C351D" w:rsidP="005302D5">
                  <w:pPr>
                    <w:rPr>
                      <w:rFonts w:ascii="Comic Sans MS" w:hAnsi="Comic Sans MS"/>
                      <w:sz w:val="20"/>
                      <w:lang w:val="en-US"/>
                    </w:rPr>
                  </w:pPr>
                  <w:r w:rsidRPr="00D27D0A">
                    <w:rPr>
                      <w:rFonts w:ascii="Comic Sans MS" w:hAnsi="Comic Sans MS"/>
                      <w:sz w:val="20"/>
                      <w:lang w:val="en-US"/>
                    </w:rPr>
                    <w:t>88%</w:t>
                  </w:r>
                </w:p>
              </w:tc>
            </w:tr>
          </w:tbl>
          <w:p w14:paraId="3EB8541E" w14:textId="77777777" w:rsidR="00F549B1" w:rsidRPr="00D27D0A" w:rsidRDefault="00360F6F" w:rsidP="00360F6F">
            <w:pPr>
              <w:rPr>
                <w:rFonts w:ascii="Comic Sans MS" w:hAnsi="Comic Sans MS"/>
                <w:sz w:val="21"/>
                <w:lang w:val="en-US"/>
              </w:rPr>
            </w:pPr>
            <w:bookmarkStart w:id="0" w:name="_GoBack"/>
            <w:r w:rsidRPr="00D27D0A">
              <w:rPr>
                <w:rFonts w:ascii="Comic Sans MS" w:hAnsi="Comic Sans MS"/>
                <w:sz w:val="21"/>
                <w:lang w:val="en-US"/>
              </w:rPr>
              <w:lastRenderedPageBreak/>
              <w:t xml:space="preserve">NB: progress across KS in </w:t>
            </w:r>
            <w:proofErr w:type="spellStart"/>
            <w:r w:rsidRPr="00D27D0A">
              <w:rPr>
                <w:rFonts w:ascii="Comic Sans MS" w:hAnsi="Comic Sans MS"/>
                <w:sz w:val="21"/>
                <w:lang w:val="en-US"/>
              </w:rPr>
              <w:t>Maths</w:t>
            </w:r>
            <w:proofErr w:type="spellEnd"/>
            <w:r w:rsidRPr="00D27D0A">
              <w:rPr>
                <w:rFonts w:ascii="Comic Sans MS" w:hAnsi="Comic Sans MS"/>
                <w:sz w:val="21"/>
                <w:lang w:val="en-US"/>
              </w:rPr>
              <w:t xml:space="preserve"> and Enquiry appears lower as the first year of our new assessment scheme took time to bed in; in-year progress in </w:t>
            </w:r>
            <w:proofErr w:type="spellStart"/>
            <w:r w:rsidRPr="00D27D0A">
              <w:rPr>
                <w:rFonts w:ascii="Comic Sans MS" w:hAnsi="Comic Sans MS"/>
                <w:sz w:val="21"/>
                <w:lang w:val="en-US"/>
              </w:rPr>
              <w:t>Maths</w:t>
            </w:r>
            <w:proofErr w:type="spellEnd"/>
            <w:r w:rsidRPr="00D27D0A">
              <w:rPr>
                <w:rFonts w:ascii="Comic Sans MS" w:hAnsi="Comic Sans MS"/>
                <w:sz w:val="21"/>
                <w:lang w:val="en-US"/>
              </w:rPr>
              <w:t xml:space="preserve"> was Outstanding and in-year progress in Enquiry was at least Good.</w:t>
            </w:r>
          </w:p>
          <w:p w14:paraId="159540BB" w14:textId="407FCFC6" w:rsidR="00F549B1" w:rsidRPr="00D27D0A" w:rsidRDefault="00F549B1" w:rsidP="00360F6F">
            <w:pPr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</w:rPr>
              <w:t>Across Key Stage Progress for Year 11 Good</w:t>
            </w:r>
          </w:p>
          <w:p w14:paraId="259270F6" w14:textId="65B684B0" w:rsidR="004A1C87" w:rsidRPr="00D27D0A" w:rsidRDefault="00F549B1" w:rsidP="00360F6F">
            <w:pPr>
              <w:rPr>
                <w:rFonts w:ascii="Comic Sans MS" w:hAnsi="Comic Sans MS"/>
                <w:sz w:val="21"/>
                <w:shd w:val="clear" w:color="auto" w:fill="0070C0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</w:rPr>
              <w:t>Across Key Stage Progress for Years 2, 6 , 9 Outstanding</w:t>
            </w:r>
            <w:bookmarkEnd w:id="0"/>
          </w:p>
        </w:tc>
      </w:tr>
      <w:tr w:rsidR="00830CD0" w:rsidRPr="006544F2" w14:paraId="77DD5DCE" w14:textId="77777777" w:rsidTr="00C70831">
        <w:tc>
          <w:tcPr>
            <w:tcW w:w="11403" w:type="dxa"/>
            <w:gridSpan w:val="3"/>
            <w:shd w:val="clear" w:color="auto" w:fill="FFFFE4"/>
          </w:tcPr>
          <w:p w14:paraId="788DED81" w14:textId="178213C9" w:rsidR="00830CD0" w:rsidRPr="00D27D0A" w:rsidRDefault="00360F6F" w:rsidP="003F46D3">
            <w:pPr>
              <w:rPr>
                <w:rFonts w:ascii="Comic Sans MS" w:hAnsi="Comic Sans MS"/>
                <w:b/>
                <w:sz w:val="21"/>
              </w:rPr>
            </w:pPr>
            <w:r w:rsidRPr="00D27D0A">
              <w:rPr>
                <w:rFonts w:ascii="Comic Sans MS" w:hAnsi="Comic Sans MS"/>
                <w:b/>
                <w:sz w:val="21"/>
              </w:rPr>
              <w:lastRenderedPageBreak/>
              <w:t>Rate of Pupil Progress 2018-19</w:t>
            </w:r>
            <w:r w:rsidR="00F549B1" w:rsidRPr="00D27D0A">
              <w:rPr>
                <w:rFonts w:ascii="Comic Sans MS" w:hAnsi="Comic Sans MS"/>
                <w:b/>
                <w:sz w:val="21"/>
              </w:rPr>
              <w:t xml:space="preserve"> (</w:t>
            </w:r>
            <w:r w:rsidR="00830CD0" w:rsidRPr="00D27D0A">
              <w:rPr>
                <w:rFonts w:ascii="Comic Sans MS" w:hAnsi="Comic Sans MS"/>
                <w:b/>
                <w:sz w:val="21"/>
              </w:rPr>
              <w:t xml:space="preserve">SOLAR, TRACK and Pupil Progress </w:t>
            </w:r>
            <w:r w:rsidR="000654CD" w:rsidRPr="00D27D0A">
              <w:rPr>
                <w:rFonts w:ascii="Comic Sans MS" w:hAnsi="Comic Sans MS"/>
                <w:b/>
                <w:sz w:val="21"/>
              </w:rPr>
              <w:t xml:space="preserve">Meeting </w:t>
            </w:r>
            <w:r w:rsidR="00E41D60" w:rsidRPr="00D27D0A">
              <w:rPr>
                <w:rFonts w:ascii="Comic Sans MS" w:hAnsi="Comic Sans MS"/>
                <w:b/>
                <w:sz w:val="21"/>
              </w:rPr>
              <w:t>Data</w:t>
            </w:r>
            <w:r w:rsidR="00F549B1" w:rsidRPr="00D27D0A">
              <w:rPr>
                <w:rFonts w:ascii="Comic Sans MS" w:hAnsi="Comic Sans MS"/>
                <w:b/>
                <w:sz w:val="21"/>
              </w:rPr>
              <w:t>): Good</w:t>
            </w:r>
          </w:p>
        </w:tc>
      </w:tr>
      <w:tr w:rsidR="00830CD0" w:rsidRPr="006544F2" w14:paraId="282D8C9C" w14:textId="77777777" w:rsidTr="00F549B1">
        <w:tc>
          <w:tcPr>
            <w:tcW w:w="11403" w:type="dxa"/>
            <w:gridSpan w:val="3"/>
            <w:shd w:val="clear" w:color="auto" w:fill="auto"/>
          </w:tcPr>
          <w:p w14:paraId="192D0373" w14:textId="07C26795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  <w:lang w:val="en-US"/>
              </w:rPr>
              <w:t>KS1-4: Good</w:t>
            </w:r>
          </w:p>
          <w:p w14:paraId="6EEA0B92" w14:textId="77777777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  <w:lang w:val="en-US"/>
              </w:rPr>
              <w:t>EYFS: Good</w:t>
            </w:r>
          </w:p>
          <w:p w14:paraId="23CAD41B" w14:textId="77777777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  <w:lang w:val="en-US"/>
              </w:rPr>
              <w:t>KS1: Good</w:t>
            </w:r>
          </w:p>
          <w:p w14:paraId="3737D139" w14:textId="77777777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  <w:lang w:val="en-US"/>
              </w:rPr>
              <w:t>KS2: Good</w:t>
            </w:r>
          </w:p>
          <w:p w14:paraId="73624122" w14:textId="77777777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KS3: Outstanding</w:t>
            </w:r>
          </w:p>
          <w:p w14:paraId="1B69B5DB" w14:textId="77777777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  <w:lang w:val="en-US"/>
              </w:rPr>
              <w:t>KS4: Good</w:t>
            </w:r>
          </w:p>
          <w:p w14:paraId="417259D1" w14:textId="77777777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  <w:lang w:val="en-US"/>
              </w:rPr>
              <w:t>KS5: Good</w:t>
            </w:r>
          </w:p>
          <w:p w14:paraId="12BC5FB3" w14:textId="7C5369F2" w:rsidR="000434B1" w:rsidRPr="00D27D0A" w:rsidRDefault="000434B1" w:rsidP="000434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In 7 out of 16 classes the rate of overall pupil progress increased; in all other classes the overall at least Good rate of progress was maintained</w:t>
            </w:r>
          </w:p>
          <w:p w14:paraId="22BB1A33" w14:textId="77777777" w:rsidR="00F549B1" w:rsidRPr="00D27D0A" w:rsidRDefault="00F549B1" w:rsidP="00F549B1">
            <w:p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</w:p>
          <w:p w14:paraId="5AEC76CC" w14:textId="518450C8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KS1-4: 89.3% of pupils making at least Good progress overall</w:t>
            </w:r>
            <w:r w:rsidR="00F549B1"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 xml:space="preserve">: </w:t>
            </w: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4% increase from 2017-18</w:t>
            </w:r>
          </w:p>
          <w:p w14:paraId="3C966213" w14:textId="73CFB71F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 xml:space="preserve">KS1-4 </w:t>
            </w:r>
            <w:proofErr w:type="spellStart"/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Maths</w:t>
            </w:r>
            <w:proofErr w:type="spellEnd"/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: 89.3% making at least Good progress (Outstandin</w:t>
            </w:r>
            <w:r w:rsidR="00F549B1"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g Progress across all 3 strands</w:t>
            </w:r>
          </w:p>
          <w:p w14:paraId="703D574E" w14:textId="4CD16D40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KS1-4 English: 90.1% making at least Good progress (5% increase from 2017-18; Outstanding Progress in</w:t>
            </w:r>
            <w:r w:rsidRPr="00D27D0A">
              <w:rPr>
                <w:rFonts w:ascii="Comic Sans MS" w:hAnsi="Comic Sans MS"/>
                <w:sz w:val="21"/>
                <w:shd w:val="clear" w:color="auto" w:fill="0070C0"/>
                <w:lang w:val="en-US"/>
              </w:rPr>
              <w:t xml:space="preserve"> </w:t>
            </w: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Writ</w:t>
            </w:r>
            <w:r w:rsidR="00F549B1"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ing &amp; CVGP)</w:t>
            </w:r>
          </w:p>
          <w:p w14:paraId="19590931" w14:textId="77777777" w:rsidR="00F549B1" w:rsidRPr="00D27D0A" w:rsidRDefault="00F549B1" w:rsidP="00F549B1">
            <w:p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</w:p>
          <w:p w14:paraId="7C4B3475" w14:textId="77777777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  <w:lang w:val="en-US"/>
              </w:rPr>
              <w:t>Reading: 85.83% making at least Good progress</w:t>
            </w:r>
          </w:p>
          <w:p w14:paraId="6C2866B6" w14:textId="77777777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  <w:lang w:val="en-US"/>
              </w:rPr>
              <w:t>Computing: 87.6% making at least Good progress</w:t>
            </w:r>
          </w:p>
          <w:p w14:paraId="64F937D8" w14:textId="77777777" w:rsidR="00360F6F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  <w:lang w:val="en-US"/>
              </w:rPr>
              <w:t>Scientific Enquiry: 83.72% making at least Good progress (significant improvement on 2017-18); embedded</w:t>
            </w:r>
            <w:r w:rsidRPr="00D27D0A">
              <w:rPr>
                <w:rFonts w:ascii="Comic Sans MS" w:hAnsi="Comic Sans MS"/>
                <w:sz w:val="21"/>
                <w:shd w:val="clear" w:color="auto" w:fill="00B050"/>
                <w:lang w:val="en-US"/>
              </w:rPr>
              <w:t xml:space="preserve"> </w:t>
            </w: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  <w:lang w:val="en-US"/>
              </w:rPr>
              <w:t>consistency of assessment will ensure that across Key Stage progress can be measured accurately</w:t>
            </w:r>
          </w:p>
          <w:p w14:paraId="1E1EFF38" w14:textId="77777777" w:rsidR="00474577" w:rsidRPr="00D27D0A" w:rsidRDefault="00360F6F" w:rsidP="00360F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C5E0B3" w:themeFill="accent6" w:themeFillTint="66"/>
                <w:lang w:val="en-US"/>
              </w:rPr>
              <w:t>KS1-4 SMSC: 84.7% making at least Good progress</w:t>
            </w:r>
          </w:p>
          <w:p w14:paraId="556BEB45" w14:textId="292BCFC5" w:rsidR="00F549B1" w:rsidRPr="00D27D0A" w:rsidRDefault="00F549B1" w:rsidP="00F549B1">
            <w:p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</w:p>
        </w:tc>
      </w:tr>
      <w:tr w:rsidR="00830CD0" w:rsidRPr="006544F2" w14:paraId="2E88A351" w14:textId="77777777" w:rsidTr="00C70831">
        <w:tc>
          <w:tcPr>
            <w:tcW w:w="11403" w:type="dxa"/>
            <w:gridSpan w:val="3"/>
            <w:shd w:val="clear" w:color="auto" w:fill="FFFFE4"/>
          </w:tcPr>
          <w:p w14:paraId="3C94AB9E" w14:textId="0782578D" w:rsidR="00830CD0" w:rsidRPr="00D27D0A" w:rsidRDefault="000434B1" w:rsidP="003F46D3">
            <w:pPr>
              <w:rPr>
                <w:rFonts w:ascii="Comic Sans MS" w:hAnsi="Comic Sans MS"/>
                <w:b/>
                <w:sz w:val="21"/>
              </w:rPr>
            </w:pPr>
            <w:r w:rsidRPr="00D27D0A">
              <w:rPr>
                <w:rFonts w:ascii="Comic Sans MS" w:hAnsi="Comic Sans MS"/>
                <w:b/>
                <w:sz w:val="21"/>
              </w:rPr>
              <w:t xml:space="preserve">Pupil progress - the wider curriculum: Outstanding </w:t>
            </w:r>
          </w:p>
        </w:tc>
      </w:tr>
      <w:tr w:rsidR="00830CD0" w:rsidRPr="006544F2" w14:paraId="3ED47620" w14:textId="77777777" w:rsidTr="00F549B1">
        <w:trPr>
          <w:trHeight w:val="392"/>
        </w:trPr>
        <w:tc>
          <w:tcPr>
            <w:tcW w:w="11403" w:type="dxa"/>
            <w:gridSpan w:val="3"/>
            <w:shd w:val="clear" w:color="auto" w:fill="auto"/>
          </w:tcPr>
          <w:p w14:paraId="1B9375AE" w14:textId="77777777" w:rsidR="00F549B1" w:rsidRPr="00D27D0A" w:rsidRDefault="00F549B1" w:rsidP="00F549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 xml:space="preserve">Whole school: 89.7% of pupils making at least Good progress in the area of </w:t>
            </w:r>
            <w:proofErr w:type="spellStart"/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behavioural</w:t>
            </w:r>
            <w:proofErr w:type="spellEnd"/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 xml:space="preserve"> communications; high percentage making Outstanding progress (23.9%); this represents a steady increase since the</w:t>
            </w:r>
            <w:r w:rsidRPr="00D27D0A">
              <w:rPr>
                <w:rFonts w:ascii="Comic Sans MS" w:hAnsi="Comic Sans MS"/>
                <w:sz w:val="21"/>
                <w:shd w:val="clear" w:color="auto" w:fill="0070C0"/>
                <w:lang w:val="en-US"/>
              </w:rPr>
              <w:t xml:space="preserve"> </w:t>
            </w: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Autumn Term</w:t>
            </w:r>
          </w:p>
          <w:p w14:paraId="03164E5C" w14:textId="77777777" w:rsidR="00F549B1" w:rsidRPr="00D27D0A" w:rsidRDefault="00F549B1" w:rsidP="00F549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100% of pupils making at least Good progress in the area of Employability Skills – a significant improvement on the Autumn &amp; Spring Terms; very high percentage making Outstanding Progress (59.3%)</w:t>
            </w:r>
          </w:p>
          <w:p w14:paraId="09C8D11A" w14:textId="77777777" w:rsidR="00F549B1" w:rsidRPr="00D27D0A" w:rsidRDefault="00F549B1" w:rsidP="00F549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89.5% of pupils making at least Good progress in the area of Independence Skills – a significant</w:t>
            </w:r>
            <w:r w:rsidRPr="00D27D0A">
              <w:rPr>
                <w:rFonts w:ascii="Comic Sans MS" w:hAnsi="Comic Sans MS"/>
                <w:sz w:val="21"/>
                <w:shd w:val="clear" w:color="auto" w:fill="0070C0"/>
                <w:lang w:val="en-US"/>
              </w:rPr>
              <w:t xml:space="preserve"> </w:t>
            </w: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improvement on the Autumn &amp; Spring Terms</w:t>
            </w:r>
          </w:p>
          <w:p w14:paraId="3465C21C" w14:textId="5827C0F9" w:rsidR="00830CD0" w:rsidRPr="00D27D0A" w:rsidRDefault="00F549B1" w:rsidP="00F549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1"/>
                <w:lang w:val="en-US"/>
              </w:rPr>
            </w:pPr>
            <w:r w:rsidRPr="00C70831">
              <w:rPr>
                <w:rFonts w:ascii="Comic Sans MS" w:hAnsi="Comic Sans MS"/>
                <w:sz w:val="21"/>
                <w:shd w:val="clear" w:color="auto" w:fill="B4C6E7" w:themeFill="accent5" w:themeFillTint="66"/>
                <w:lang w:val="en-US"/>
              </w:rPr>
              <w:t>KS1-4: 95.85% of sensory-led learners making at least Good progress</w:t>
            </w:r>
          </w:p>
        </w:tc>
      </w:tr>
    </w:tbl>
    <w:p w14:paraId="628981CE" w14:textId="63E00FFC" w:rsidR="00F01E2C" w:rsidRPr="00D27D0A" w:rsidRDefault="00530637" w:rsidP="00F01E2C">
      <w:pPr>
        <w:rPr>
          <w:rFonts w:ascii="Comic Sans MS" w:hAnsi="Comic Sans MS"/>
          <w:sz w:val="18"/>
        </w:rPr>
      </w:pPr>
      <w:r w:rsidRPr="00D27D0A">
        <w:rPr>
          <w:rFonts w:ascii="Comic Sans MS" w:hAnsi="Comic Sans MS"/>
          <w:sz w:val="18"/>
        </w:rPr>
        <w:t>Pupil Outcomes Judgements: colour key</w:t>
      </w:r>
      <w:r w:rsidR="00DF3615">
        <w:rPr>
          <w:rFonts w:ascii="Comic Sans MS" w:hAnsi="Comic Sans MS"/>
          <w:sz w:val="1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402"/>
      </w:tblGrid>
      <w:tr w:rsidR="00F01E2C" w:rsidRPr="00D27D0A" w14:paraId="4EF748DD" w14:textId="77777777" w:rsidTr="00C70831">
        <w:trPr>
          <w:trHeight w:val="215"/>
        </w:trPr>
        <w:tc>
          <w:tcPr>
            <w:tcW w:w="3369" w:type="dxa"/>
            <w:shd w:val="clear" w:color="auto" w:fill="B4C6E7" w:themeFill="accent5" w:themeFillTint="66"/>
          </w:tcPr>
          <w:p w14:paraId="09BF4BFC" w14:textId="6BF4877C" w:rsidR="00F01E2C" w:rsidRPr="00DF3615" w:rsidRDefault="00F01E2C" w:rsidP="005302D5">
            <w:pPr>
              <w:rPr>
                <w:rFonts w:ascii="Comic Sans MS" w:hAnsi="Comic Sans MS"/>
                <w:sz w:val="15"/>
              </w:rPr>
            </w:pPr>
          </w:p>
        </w:tc>
        <w:tc>
          <w:tcPr>
            <w:tcW w:w="3402" w:type="dxa"/>
          </w:tcPr>
          <w:p w14:paraId="0AD2AB03" w14:textId="02350A2A" w:rsidR="00F01E2C" w:rsidRPr="00DF3615" w:rsidRDefault="00530637" w:rsidP="005302D5">
            <w:pPr>
              <w:rPr>
                <w:rFonts w:ascii="Comic Sans MS" w:hAnsi="Comic Sans MS"/>
                <w:sz w:val="15"/>
              </w:rPr>
            </w:pPr>
            <w:r w:rsidRPr="00DF3615">
              <w:rPr>
                <w:rFonts w:ascii="Comic Sans MS" w:hAnsi="Comic Sans MS"/>
                <w:sz w:val="15"/>
              </w:rPr>
              <w:t xml:space="preserve">Outstanding </w:t>
            </w:r>
          </w:p>
        </w:tc>
      </w:tr>
      <w:tr w:rsidR="00F01E2C" w:rsidRPr="00D27D0A" w14:paraId="42FBA86E" w14:textId="77777777" w:rsidTr="00C70831">
        <w:trPr>
          <w:trHeight w:val="200"/>
        </w:trPr>
        <w:tc>
          <w:tcPr>
            <w:tcW w:w="3369" w:type="dxa"/>
            <w:shd w:val="clear" w:color="auto" w:fill="C5E0B3" w:themeFill="accent6" w:themeFillTint="66"/>
          </w:tcPr>
          <w:p w14:paraId="7FB317A7" w14:textId="1EFE82E2" w:rsidR="00F01E2C" w:rsidRPr="00DF3615" w:rsidRDefault="00F01E2C" w:rsidP="005302D5">
            <w:pPr>
              <w:rPr>
                <w:rFonts w:ascii="Comic Sans MS" w:hAnsi="Comic Sans MS"/>
                <w:sz w:val="15"/>
              </w:rPr>
            </w:pPr>
          </w:p>
        </w:tc>
        <w:tc>
          <w:tcPr>
            <w:tcW w:w="3402" w:type="dxa"/>
          </w:tcPr>
          <w:p w14:paraId="149F6BEA" w14:textId="47D3986B" w:rsidR="00F01E2C" w:rsidRPr="00DF3615" w:rsidRDefault="00530637" w:rsidP="00530637">
            <w:pPr>
              <w:rPr>
                <w:rFonts w:ascii="Comic Sans MS" w:hAnsi="Comic Sans MS"/>
                <w:sz w:val="15"/>
              </w:rPr>
            </w:pPr>
            <w:r w:rsidRPr="00DF3615">
              <w:rPr>
                <w:rFonts w:ascii="Comic Sans MS" w:hAnsi="Comic Sans MS"/>
                <w:sz w:val="15"/>
              </w:rPr>
              <w:t xml:space="preserve">Good </w:t>
            </w:r>
          </w:p>
        </w:tc>
      </w:tr>
      <w:tr w:rsidR="00F01E2C" w:rsidRPr="00D27D0A" w14:paraId="25B0FA68" w14:textId="77777777" w:rsidTr="00C70831">
        <w:trPr>
          <w:trHeight w:val="284"/>
        </w:trPr>
        <w:tc>
          <w:tcPr>
            <w:tcW w:w="3369" w:type="dxa"/>
            <w:shd w:val="clear" w:color="auto" w:fill="FEFF8B"/>
          </w:tcPr>
          <w:p w14:paraId="4B79552F" w14:textId="24EFCA15" w:rsidR="00F01E2C" w:rsidRPr="00DF3615" w:rsidRDefault="00F01E2C" w:rsidP="005302D5">
            <w:pPr>
              <w:rPr>
                <w:rFonts w:ascii="Comic Sans MS" w:hAnsi="Comic Sans MS"/>
                <w:sz w:val="15"/>
              </w:rPr>
            </w:pPr>
          </w:p>
        </w:tc>
        <w:tc>
          <w:tcPr>
            <w:tcW w:w="3402" w:type="dxa"/>
          </w:tcPr>
          <w:p w14:paraId="08C5C205" w14:textId="4D52BC51" w:rsidR="00F01E2C" w:rsidRPr="00DF3615" w:rsidRDefault="00530637" w:rsidP="005302D5">
            <w:pPr>
              <w:rPr>
                <w:rFonts w:ascii="Comic Sans MS" w:hAnsi="Comic Sans MS"/>
                <w:sz w:val="15"/>
              </w:rPr>
            </w:pPr>
            <w:r w:rsidRPr="00DF3615">
              <w:rPr>
                <w:rFonts w:ascii="Comic Sans MS" w:hAnsi="Comic Sans MS"/>
                <w:sz w:val="15"/>
              </w:rPr>
              <w:t xml:space="preserve">Requires Improvement </w:t>
            </w:r>
          </w:p>
        </w:tc>
      </w:tr>
      <w:tr w:rsidR="00F01E2C" w:rsidRPr="00D27D0A" w14:paraId="2600498D" w14:textId="77777777" w:rsidTr="00C70831">
        <w:trPr>
          <w:trHeight w:val="326"/>
        </w:trPr>
        <w:tc>
          <w:tcPr>
            <w:tcW w:w="3369" w:type="dxa"/>
            <w:shd w:val="clear" w:color="auto" w:fill="FFB6B8"/>
          </w:tcPr>
          <w:p w14:paraId="1183314A" w14:textId="1E284107" w:rsidR="00F01E2C" w:rsidRPr="00DF3615" w:rsidRDefault="00F01E2C" w:rsidP="005302D5">
            <w:pPr>
              <w:rPr>
                <w:rFonts w:ascii="Comic Sans MS" w:hAnsi="Comic Sans MS"/>
                <w:sz w:val="15"/>
              </w:rPr>
            </w:pPr>
          </w:p>
        </w:tc>
        <w:tc>
          <w:tcPr>
            <w:tcW w:w="3402" w:type="dxa"/>
          </w:tcPr>
          <w:p w14:paraId="71069EA0" w14:textId="4064B99F" w:rsidR="00F01E2C" w:rsidRPr="00DF3615" w:rsidRDefault="00530637" w:rsidP="005302D5">
            <w:pPr>
              <w:rPr>
                <w:rFonts w:ascii="Comic Sans MS" w:hAnsi="Comic Sans MS"/>
                <w:sz w:val="15"/>
              </w:rPr>
            </w:pPr>
            <w:r w:rsidRPr="00DF3615">
              <w:rPr>
                <w:rFonts w:ascii="Comic Sans MS" w:hAnsi="Comic Sans MS"/>
                <w:sz w:val="15"/>
              </w:rPr>
              <w:t xml:space="preserve">Inadequate </w:t>
            </w:r>
          </w:p>
        </w:tc>
      </w:tr>
    </w:tbl>
    <w:p w14:paraId="06790110" w14:textId="4B966651" w:rsidR="00DF3615" w:rsidRDefault="00DF3615" w:rsidP="00F01E2C">
      <w:pPr>
        <w:rPr>
          <w:rFonts w:ascii="Comic Sans MS" w:hAnsi="Comic Sans MS"/>
          <w:sz w:val="18"/>
        </w:rPr>
      </w:pPr>
      <w:r w:rsidRPr="00DF3615">
        <w:rPr>
          <w:rFonts w:ascii="Comic Sans MS" w:hAnsi="Comic Sans MS"/>
          <w:sz w:val="18"/>
        </w:rPr>
        <w:t>Acronyms Key</w:t>
      </w:r>
      <w:r>
        <w:rPr>
          <w:rFonts w:ascii="Comic Sans MS" w:hAnsi="Comic Sans MS"/>
          <w:sz w:val="18"/>
        </w:rPr>
        <w:t>:</w:t>
      </w:r>
      <w:r w:rsidRPr="00DF3615">
        <w:rPr>
          <w:rFonts w:ascii="Comic Sans MS" w:hAnsi="Comic Sans MS"/>
          <w:sz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F3615" w14:paraId="76BE31D6" w14:textId="77777777" w:rsidTr="00DF3615">
        <w:trPr>
          <w:trHeight w:val="284"/>
        </w:trPr>
        <w:tc>
          <w:tcPr>
            <w:tcW w:w="2614" w:type="dxa"/>
            <w:shd w:val="clear" w:color="auto" w:fill="FFFFE4"/>
          </w:tcPr>
          <w:p w14:paraId="4CA3203C" w14:textId="2345C3D8" w:rsidR="00DF3615" w:rsidRPr="00DF3615" w:rsidRDefault="00DF3615" w:rsidP="00F01E2C">
            <w:pPr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sz w:val="15"/>
              </w:rPr>
              <w:t>CLA</w:t>
            </w:r>
          </w:p>
        </w:tc>
        <w:tc>
          <w:tcPr>
            <w:tcW w:w="2614" w:type="dxa"/>
          </w:tcPr>
          <w:p w14:paraId="291868E0" w14:textId="087B7E90" w:rsidR="00E93E32" w:rsidRPr="00DF3615" w:rsidRDefault="00DF3615" w:rsidP="00F01E2C">
            <w:pPr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sz w:val="15"/>
              </w:rPr>
              <w:t>Child Looked After</w:t>
            </w:r>
          </w:p>
        </w:tc>
        <w:tc>
          <w:tcPr>
            <w:tcW w:w="2614" w:type="dxa"/>
            <w:shd w:val="clear" w:color="auto" w:fill="FFFFE4"/>
          </w:tcPr>
          <w:p w14:paraId="287C335E" w14:textId="02F9C961" w:rsidR="00DF3615" w:rsidRPr="00DF3615" w:rsidRDefault="00DF3615" w:rsidP="00F01E2C">
            <w:pPr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sz w:val="15"/>
              </w:rPr>
              <w:t>U&amp;A</w:t>
            </w:r>
          </w:p>
        </w:tc>
        <w:tc>
          <w:tcPr>
            <w:tcW w:w="2614" w:type="dxa"/>
          </w:tcPr>
          <w:p w14:paraId="3FCB5665" w14:textId="2F51C3BD" w:rsidR="00DF3615" w:rsidRPr="00DF3615" w:rsidRDefault="00DF3615" w:rsidP="00F01E2C">
            <w:pPr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sz w:val="15"/>
              </w:rPr>
              <w:t xml:space="preserve">Using &amp; Applying </w:t>
            </w:r>
          </w:p>
        </w:tc>
      </w:tr>
      <w:tr w:rsidR="00DF3615" w14:paraId="756CBE0F" w14:textId="77777777" w:rsidTr="00E93E32">
        <w:trPr>
          <w:trHeight w:val="410"/>
        </w:trPr>
        <w:tc>
          <w:tcPr>
            <w:tcW w:w="2614" w:type="dxa"/>
            <w:shd w:val="clear" w:color="auto" w:fill="FFFFE4"/>
          </w:tcPr>
          <w:p w14:paraId="798AD414" w14:textId="5B465869" w:rsidR="00DF3615" w:rsidRPr="00DF3615" w:rsidRDefault="00DF3615" w:rsidP="00F01E2C">
            <w:pPr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sz w:val="15"/>
              </w:rPr>
              <w:t>CVGP</w:t>
            </w:r>
          </w:p>
        </w:tc>
        <w:tc>
          <w:tcPr>
            <w:tcW w:w="2614" w:type="dxa"/>
          </w:tcPr>
          <w:p w14:paraId="5DF6EE7D" w14:textId="384FE349" w:rsidR="00DF3615" w:rsidRPr="00DF3615" w:rsidRDefault="00E93E32" w:rsidP="00F01E2C">
            <w:pPr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sz w:val="15"/>
              </w:rPr>
              <w:t xml:space="preserve">Communication, Vocabulary, </w:t>
            </w:r>
            <w:r w:rsidR="00E07682">
              <w:rPr>
                <w:rFonts w:ascii="Comic Sans MS" w:hAnsi="Comic Sans MS"/>
                <w:sz w:val="15"/>
              </w:rPr>
              <w:t xml:space="preserve">Grammar &amp; Punctuation </w:t>
            </w:r>
          </w:p>
        </w:tc>
        <w:tc>
          <w:tcPr>
            <w:tcW w:w="2614" w:type="dxa"/>
            <w:shd w:val="clear" w:color="auto" w:fill="FFFFE4"/>
          </w:tcPr>
          <w:p w14:paraId="6528088D" w14:textId="43AF4DED" w:rsidR="00DF3615" w:rsidRPr="00DF3615" w:rsidRDefault="00DF3615" w:rsidP="00F01E2C">
            <w:pPr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sz w:val="15"/>
              </w:rPr>
              <w:t>SMSC</w:t>
            </w:r>
          </w:p>
        </w:tc>
        <w:tc>
          <w:tcPr>
            <w:tcW w:w="2614" w:type="dxa"/>
          </w:tcPr>
          <w:p w14:paraId="4BDCEC94" w14:textId="374D6613" w:rsidR="00DF3615" w:rsidRPr="00DF3615" w:rsidRDefault="00DF3615" w:rsidP="00F01E2C">
            <w:pPr>
              <w:rPr>
                <w:rFonts w:ascii="Comic Sans MS" w:hAnsi="Comic Sans MS"/>
                <w:sz w:val="15"/>
              </w:rPr>
            </w:pPr>
            <w:r>
              <w:rPr>
                <w:rFonts w:ascii="Comic Sans MS" w:hAnsi="Comic Sans MS"/>
                <w:sz w:val="15"/>
              </w:rPr>
              <w:t>Spiritual, Moral, Social &amp; Cultural</w:t>
            </w:r>
          </w:p>
        </w:tc>
      </w:tr>
    </w:tbl>
    <w:p w14:paraId="2FB1DA1C" w14:textId="77777777" w:rsidR="00DF3615" w:rsidRPr="00DF3615" w:rsidRDefault="00DF3615" w:rsidP="00F01E2C">
      <w:pPr>
        <w:rPr>
          <w:rFonts w:ascii="Comic Sans MS" w:hAnsi="Comic Sans MS"/>
        </w:rPr>
      </w:pPr>
    </w:p>
    <w:sectPr w:rsidR="00DF3615" w:rsidRPr="00DF3615" w:rsidSect="00DF3615">
      <w:pgSz w:w="11906" w:h="16838"/>
      <w:pgMar w:top="181" w:right="720" w:bottom="19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1B17"/>
    <w:multiLevelType w:val="hybridMultilevel"/>
    <w:tmpl w:val="06C2A4C0"/>
    <w:lvl w:ilvl="0" w:tplc="20C21702">
      <w:start w:val="2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DE60C3"/>
    <w:multiLevelType w:val="hybridMultilevel"/>
    <w:tmpl w:val="2BB29638"/>
    <w:lvl w:ilvl="0" w:tplc="760E8D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B7534"/>
    <w:multiLevelType w:val="hybridMultilevel"/>
    <w:tmpl w:val="DE226DFC"/>
    <w:lvl w:ilvl="0" w:tplc="A7169F5A">
      <w:start w:val="14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6A7CBE"/>
    <w:multiLevelType w:val="hybridMultilevel"/>
    <w:tmpl w:val="4F76B60C"/>
    <w:lvl w:ilvl="0" w:tplc="DEAC1BD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5D691F"/>
    <w:multiLevelType w:val="hybridMultilevel"/>
    <w:tmpl w:val="EAA2F90C"/>
    <w:lvl w:ilvl="0" w:tplc="50843ED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29"/>
    <w:rsid w:val="000434B1"/>
    <w:rsid w:val="000654CD"/>
    <w:rsid w:val="00180DD0"/>
    <w:rsid w:val="001A0640"/>
    <w:rsid w:val="001B3A16"/>
    <w:rsid w:val="001B596D"/>
    <w:rsid w:val="001B599D"/>
    <w:rsid w:val="001C7701"/>
    <w:rsid w:val="00246D38"/>
    <w:rsid w:val="002C6F46"/>
    <w:rsid w:val="00316946"/>
    <w:rsid w:val="00360F6F"/>
    <w:rsid w:val="00392B07"/>
    <w:rsid w:val="00470C29"/>
    <w:rsid w:val="00474577"/>
    <w:rsid w:val="00492B9E"/>
    <w:rsid w:val="004A1C87"/>
    <w:rsid w:val="004F4348"/>
    <w:rsid w:val="00504B9F"/>
    <w:rsid w:val="005178C6"/>
    <w:rsid w:val="00522084"/>
    <w:rsid w:val="00530318"/>
    <w:rsid w:val="00530637"/>
    <w:rsid w:val="00530A7B"/>
    <w:rsid w:val="005D0045"/>
    <w:rsid w:val="005F2844"/>
    <w:rsid w:val="006544F2"/>
    <w:rsid w:val="00702593"/>
    <w:rsid w:val="007955F9"/>
    <w:rsid w:val="007A42B4"/>
    <w:rsid w:val="007C351D"/>
    <w:rsid w:val="00830CD0"/>
    <w:rsid w:val="008C5334"/>
    <w:rsid w:val="00942775"/>
    <w:rsid w:val="009D3613"/>
    <w:rsid w:val="00AF4833"/>
    <w:rsid w:val="00B33C77"/>
    <w:rsid w:val="00B4434A"/>
    <w:rsid w:val="00C43022"/>
    <w:rsid w:val="00C707CD"/>
    <w:rsid w:val="00C70831"/>
    <w:rsid w:val="00CF2CB0"/>
    <w:rsid w:val="00D10284"/>
    <w:rsid w:val="00D27D0A"/>
    <w:rsid w:val="00D432DF"/>
    <w:rsid w:val="00DF3615"/>
    <w:rsid w:val="00E07682"/>
    <w:rsid w:val="00E41D60"/>
    <w:rsid w:val="00E93E32"/>
    <w:rsid w:val="00EA04C9"/>
    <w:rsid w:val="00EC3703"/>
    <w:rsid w:val="00F01E2C"/>
    <w:rsid w:val="00F13D85"/>
    <w:rsid w:val="00F46137"/>
    <w:rsid w:val="00F51CDE"/>
    <w:rsid w:val="00F549B1"/>
    <w:rsid w:val="00F836E4"/>
    <w:rsid w:val="00F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BE9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C2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580</Words>
  <Characters>3307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Paterson WDS</dc:creator>
  <cp:keywords/>
  <dc:description/>
  <cp:lastModifiedBy>Microsoft Office User</cp:lastModifiedBy>
  <cp:revision>4</cp:revision>
  <dcterms:created xsi:type="dcterms:W3CDTF">2019-10-27T10:23:00Z</dcterms:created>
  <dcterms:modified xsi:type="dcterms:W3CDTF">2019-11-03T22:44:00Z</dcterms:modified>
</cp:coreProperties>
</file>